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5200"/>
        <w:gridCol w:w="5600"/>
      </w:tblGrid>
      <w:tr>
        <w:trPr>
          <w:trHeight w:val="1240" w:hRule="atLeast"/>
        </w:trPr>
        <w:tc>
          <w:tcPr>
            <w:tcW w:type="dxa" w:w="5200"/>
            <w:tcBorders>
              <w:top w:val="none" w:color="FFFFFF" w:sz="0"/>
              <w:left w:val="none" w:color="FFFFFF" w:sz="0"/>
              <w:bottom w:val="none" w:color="FFFFFF" w:sz="0"/>
              <w:right w:val="none" w:color="FFFFFF" w:sz="0"/>
            </w:tcBorders>
            <w:shd w:fill="16264A" w:val="clear"/>
            <w:tcMar>
              <w:top w:type="dxa" w:w="120"/>
              <w:left w:type="dxa" w:w="240"/>
              <w:bottom w:type="dxa" w:w="120"/>
              <w:right w:type="dxa" w:w="120"/>
            </w:tcMar>
            <w:vAlign w:val="center"/>
          </w:tcPr>
          <w:p>
            <w:pPr>
              <w:spacing w:after="0"/>
            </w:pPr>
            <w:r>
              <w:drawing>
                <wp:inline distT="0" distB="0" distL="0" distR="0">
                  <wp:extent cx="2362200" cy="752475"/>
                  <wp:effectExtent t="0" r="0" b="0" l="0"/>
                  <wp:docPr id="1" name="Logo" descr="Logo" title="Drinkard Enterprises I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2362200" cy="752475"/>
                          </a:xfrm>
                          <a:prstGeom prst="rect">
                            <a:avLst/>
                          </a:prstGeom>
                        </pic:spPr>
                      </pic:pic>
                    </a:graphicData>
                  </a:graphic>
                </wp:inline>
              </w:drawing>
            </w:r>
          </w:p>
        </w:tc>
        <w:tc>
          <w:tcPr>
            <w:tcW w:type="dxa" w:w="5600"/>
            <w:tcBorders>
              <w:top w:val="none" w:color="FFFFFF" w:sz="0"/>
              <w:left w:val="none" w:color="FFFFFF" w:sz="0"/>
              <w:bottom w:val="none" w:color="FFFFFF" w:sz="0"/>
              <w:right w:val="none" w:color="FFFFFF" w:sz="0"/>
            </w:tcBorders>
            <w:shd w:fill="16264A" w:val="clear"/>
            <w:tcMar>
              <w:top w:type="dxa" w:w="120"/>
              <w:left w:type="dxa" w:w="120"/>
              <w:bottom w:type="dxa" w:w="120"/>
              <w:right w:type="dxa" w:w="260"/>
            </w:tcMar>
            <w:vAlign w:val="center"/>
          </w:tcPr>
          <w:p>
            <w:pPr>
              <w:spacing w:after="40"/>
              <w:jc w:val="right"/>
            </w:pPr>
            <w:r>
              <w:rPr>
                <w:rFonts w:ascii="Arial" w:cs="Arial" w:eastAsia="Arial" w:hAnsi="Arial"/>
                <w:b/>
                <w:bCs/>
                <w:i w:val="false"/>
                <w:iCs w:val="false"/>
                <w:color w:val="FFFFFF"/>
                <w:spacing w:val="8"/>
                <w:sz w:val="34"/>
                <w:szCs w:val="34"/>
              </w:rPr>
              <w:t xml:space="preserve">CAPABILITY STATEMENT</w:t>
            </w:r>
          </w:p>
          <w:p>
            <w:pPr>
              <w:spacing w:after="0"/>
              <w:jc w:val="right"/>
            </w:pPr>
            <w:r>
              <w:rPr>
                <w:rFonts w:ascii="Arial" w:cs="Arial" w:eastAsia="Arial" w:hAnsi="Arial"/>
                <w:b/>
                <w:bCs/>
                <w:i w:val="false"/>
                <w:iCs w:val="false"/>
                <w:color w:val="D8A94B"/>
                <w:spacing w:val="10"/>
                <w:sz w:val="19"/>
                <w:szCs w:val="19"/>
              </w:rPr>
              <w:t xml:space="preserve">Evaluation  ·  Research  ·  Strategy</w:t>
            </w:r>
          </w:p>
        </w:tc>
      </w:tr>
    </w:tbl>
    <w:p>
      <w:pPr>
        <w:spacing w:after="40"/>
      </w:pPr>
      <w:r>
        <w:rPr>
          <w:rFonts w:ascii="Arial" w:cs="Arial" w:eastAsia="Arial" w:hAnsi="Arial"/>
          <w:b w:val="false"/>
          <w:bCs w:val="false"/>
          <w:i w:val="false"/>
          <w:iCs w:val="false"/>
          <w:color w:val="1B2433"/>
          <w:sz w:val="18"/>
          <w:szCs w:val="18"/>
        </w:rPr>
        <w:t xml:space="preserve"/>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6520"/>
        <w:gridCol w:w="4280"/>
      </w:tblGrid>
      <w:tr>
        <w:trPr>
          <w:trHeight w:val="11700" w:hRule="atLeast"/>
        </w:trPr>
        <w:tc>
          <w:tcPr>
            <w:tcW w:type="dxa" w:w="6520"/>
            <w:tcBorders>
              <w:top w:val="none" w:color="FFFFFF" w:sz="0"/>
              <w:left w:val="none" w:color="FFFFFF" w:sz="0"/>
              <w:bottom w:val="none" w:color="FFFFFF" w:sz="0"/>
              <w:right w:val="none" w:color="FFFFFF" w:sz="0"/>
            </w:tcBorders>
            <w:tcMar>
              <w:top w:type="dxa" w:w="150"/>
              <w:left w:type="dxa" w:w="0"/>
              <w:bottom w:type="dxa" w:w="120"/>
              <w:right w:type="dxa" w:w="320"/>
            </w:tcMar>
            <w:vAlign w:val="top"/>
          </w:tcPr>
          <w:p>
            <w:pPr>
              <w:pBdr>
                <w:bottom w:val="single" w:color="C18F33" w:sz="8" w:space="3"/>
              </w:pBdr>
              <w:spacing w:after="92" w:before="170"/>
            </w:pPr>
            <w:r>
              <w:rPr>
                <w:rFonts w:ascii="Arial" w:cs="Arial" w:eastAsia="Arial" w:hAnsi="Arial"/>
                <w:b/>
                <w:bCs/>
                <w:i w:val="false"/>
                <w:iCs w:val="false"/>
                <w:color w:val="16264A"/>
                <w:spacing w:val="8"/>
                <w:sz w:val="22"/>
                <w:szCs w:val="22"/>
              </w:rPr>
              <w:t xml:space="preserve">POSITIONING STATEMENT</w:t>
            </w:r>
          </w:p>
          <w:p>
            <w:pPr>
              <w:spacing w:after="70" w:before="0" w:line="252"/>
            </w:pPr>
            <w:r>
              <w:rPr>
                <w:rFonts w:ascii="Arial" w:cs="Arial" w:eastAsia="Arial" w:hAnsi="Arial"/>
                <w:b w:val="false"/>
                <w:bCs w:val="false"/>
                <w:i w:val="false"/>
                <w:iCs w:val="false"/>
                <w:color w:val="1B2433"/>
                <w:sz w:val="18"/>
                <w:szCs w:val="18"/>
              </w:rPr>
              <w:t xml:space="preserve">Drinkard Enterprises Inc. helps organizations transform research, community voice, and data into decisions that improve programs, strengthen systems, and increase measurable impact. Led by Allyson Drinkard, Ph.D., the firm brings more than 25 years of experience evaluating complex community initiatives across violence prevention, education, behavioral health, juvenile justice, public health, and nonprofit systems.</w:t>
            </w:r>
          </w:p>
          <w:p>
            <w:pPr>
              <w:pBdr>
                <w:bottom w:val="single" w:color="C18F33" w:sz="8" w:space="3"/>
              </w:pBdr>
              <w:spacing w:after="92" w:before="170"/>
            </w:pPr>
            <w:r>
              <w:rPr>
                <w:rFonts w:ascii="Arial" w:cs="Arial" w:eastAsia="Arial" w:hAnsi="Arial"/>
                <w:b/>
                <w:bCs/>
                <w:i w:val="false"/>
                <w:iCs w:val="false"/>
                <w:color w:val="16264A"/>
                <w:spacing w:val="8"/>
                <w:sz w:val="22"/>
                <w:szCs w:val="22"/>
              </w:rPr>
              <w:t xml:space="preserve">IMPACT SNAPSHOT</w:t>
            </w:r>
          </w:p>
          <w:tbl>
            <w:tblPr>
              <w:tblW w:type="dxa" w:w="6180"/>
              <w:tblBorders>
                <w:top w:val="single" w:color="auto" w:sz="4"/>
                <w:left w:val="single" w:color="auto" w:sz="4"/>
                <w:bottom w:val="single" w:color="auto" w:sz="4"/>
                <w:right w:val="single" w:color="auto" w:sz="4"/>
                <w:insideH w:val="single" w:color="auto" w:sz="4"/>
                <w:insideV w:val="single" w:color="auto" w:sz="4"/>
              </w:tblBorders>
            </w:tblPr>
            <w:tblGrid>
              <w:gridCol w:w="1960"/>
              <w:gridCol w:w="150"/>
              <w:gridCol w:w="1960"/>
              <w:gridCol w:w="150"/>
              <w:gridCol w:w="1960"/>
            </w:tblGrid>
            <w:tr>
              <w:tc>
                <w:tcPr>
                  <w:tcW w:type="dxa" w:w="1960"/>
                  <w:tcBorders>
                    <w:top w:val="none" w:color="FFFFFF" w:sz="0"/>
                    <w:left w:val="none" w:color="FFFFFF" w:sz="0"/>
                    <w:bottom w:val="none" w:color="FFFFFF" w:sz="0"/>
                    <w:right w:val="none" w:color="FFFFFF" w:sz="0"/>
                  </w:tcBorders>
                  <w:shd w:fill="EEF1F6" w:val="clear"/>
                  <w:tcMar>
                    <w:top w:type="dxa" w:w="150"/>
                    <w:left w:type="dxa" w:w="80"/>
                    <w:bottom w:type="dxa" w:w="150"/>
                    <w:right w:type="dxa" w:w="80"/>
                  </w:tcMar>
                  <w:vAlign w:val="center"/>
                </w:tcPr>
                <w:p>
                  <w:pPr>
                    <w:spacing w:after="18"/>
                    <w:jc w:val="center"/>
                  </w:pPr>
                  <w:r>
                    <w:rPr>
                      <w:rFonts w:ascii="Arial" w:cs="Arial" w:eastAsia="Arial" w:hAnsi="Arial"/>
                      <w:b/>
                      <w:bCs/>
                      <w:i w:val="false"/>
                      <w:iCs w:val="false"/>
                      <w:color w:val="16264A"/>
                      <w:sz w:val="52"/>
                      <w:szCs w:val="52"/>
                    </w:rPr>
                    <w:t xml:space="preserve">25+</w:t>
                  </w:r>
                </w:p>
                <w:p>
                  <w:pPr>
                    <w:spacing w:after="0" w:line="196"/>
                    <w:jc w:val="center"/>
                  </w:pPr>
                  <w:r>
                    <w:rPr>
                      <w:rFonts w:ascii="Arial" w:cs="Arial" w:eastAsia="Arial" w:hAnsi="Arial"/>
                      <w:b/>
                      <w:bCs/>
                      <w:i w:val="false"/>
                      <w:iCs w:val="false"/>
                      <w:color w:val="5C6A80"/>
                      <w:spacing w:val="6"/>
                      <w:sz w:val="15"/>
                      <w:szCs w:val="15"/>
                    </w:rPr>
                    <w:t xml:space="preserve">YEARS OF EXPERIENCE</w:t>
                  </w:r>
                </w:p>
              </w:tc>
              <w:tc>
                <w:tcPr>
                  <w:tcW w:type="dxa" w:w="150"/>
                  <w:tcBorders>
                    <w:top w:val="none" w:color="FFFFFF" w:sz="0"/>
                    <w:left w:val="none" w:color="FFFFFF" w:sz="0"/>
                    <w:bottom w:val="none" w:color="FFFFFF" w:sz="0"/>
                    <w:right w:val="none" w:color="FFFFFF" w:sz="0"/>
                  </w:tcBorders>
                </w:tcPr>
                <w:p>
                  <w:r>
                    <w:rPr>
                      <w:rFonts w:ascii="Arial" w:cs="Arial" w:eastAsia="Arial" w:hAnsi="Arial"/>
                      <w:b w:val="false"/>
                      <w:bCs w:val="false"/>
                      <w:i w:val="false"/>
                      <w:iCs w:val="false"/>
                      <w:color w:val="1B2433"/>
                      <w:sz w:val="18"/>
                      <w:szCs w:val="18"/>
                    </w:rPr>
                    <w:t xml:space="preserve"/>
                  </w:r>
                </w:p>
              </w:tc>
              <w:tc>
                <w:tcPr>
                  <w:tcW w:type="dxa" w:w="1960"/>
                  <w:tcBorders>
                    <w:top w:val="none" w:color="FFFFFF" w:sz="0"/>
                    <w:left w:val="none" w:color="FFFFFF" w:sz="0"/>
                    <w:bottom w:val="none" w:color="FFFFFF" w:sz="0"/>
                    <w:right w:val="none" w:color="FFFFFF" w:sz="0"/>
                  </w:tcBorders>
                  <w:shd w:fill="EEF1F6" w:val="clear"/>
                  <w:tcMar>
                    <w:top w:type="dxa" w:w="150"/>
                    <w:left w:type="dxa" w:w="80"/>
                    <w:bottom w:type="dxa" w:w="150"/>
                    <w:right w:type="dxa" w:w="80"/>
                  </w:tcMar>
                  <w:vAlign w:val="center"/>
                </w:tcPr>
                <w:p>
                  <w:pPr>
                    <w:spacing w:after="18"/>
                    <w:jc w:val="center"/>
                  </w:pPr>
                  <w:r>
                    <w:rPr>
                      <w:rFonts w:ascii="Arial" w:cs="Arial" w:eastAsia="Arial" w:hAnsi="Arial"/>
                      <w:b/>
                      <w:bCs/>
                      <w:i w:val="false"/>
                      <w:iCs w:val="false"/>
                      <w:color w:val="16264A"/>
                      <w:sz w:val="52"/>
                      <w:szCs w:val="52"/>
                    </w:rPr>
                    <w:t xml:space="preserve">50+</w:t>
                  </w:r>
                </w:p>
                <w:p>
                  <w:pPr>
                    <w:spacing w:after="0" w:line="196"/>
                    <w:jc w:val="center"/>
                  </w:pPr>
                  <w:r>
                    <w:rPr>
                      <w:rFonts w:ascii="Arial" w:cs="Arial" w:eastAsia="Arial" w:hAnsi="Arial"/>
                      <w:b/>
                      <w:bCs/>
                      <w:i w:val="false"/>
                      <w:iCs w:val="false"/>
                      <w:color w:val="5C6A80"/>
                      <w:spacing w:val="6"/>
                      <w:sz w:val="15"/>
                      <w:szCs w:val="15"/>
                    </w:rPr>
                    <w:t xml:space="preserve">RESEARCH &amp; EVALUATION PROJECTS</w:t>
                  </w:r>
                </w:p>
              </w:tc>
              <w:tc>
                <w:tcPr>
                  <w:tcW w:type="dxa" w:w="150"/>
                  <w:tcBorders>
                    <w:top w:val="none" w:color="FFFFFF" w:sz="0"/>
                    <w:left w:val="none" w:color="FFFFFF" w:sz="0"/>
                    <w:bottom w:val="none" w:color="FFFFFF" w:sz="0"/>
                    <w:right w:val="none" w:color="FFFFFF" w:sz="0"/>
                  </w:tcBorders>
                </w:tcPr>
                <w:p>
                  <w:r>
                    <w:rPr>
                      <w:rFonts w:ascii="Arial" w:cs="Arial" w:eastAsia="Arial" w:hAnsi="Arial"/>
                      <w:b w:val="false"/>
                      <w:bCs w:val="false"/>
                      <w:i w:val="false"/>
                      <w:iCs w:val="false"/>
                      <w:color w:val="1B2433"/>
                      <w:sz w:val="18"/>
                      <w:szCs w:val="18"/>
                    </w:rPr>
                    <w:t xml:space="preserve"/>
                  </w:r>
                </w:p>
              </w:tc>
              <w:tc>
                <w:tcPr>
                  <w:tcW w:type="dxa" w:w="1960"/>
                  <w:tcBorders>
                    <w:top w:val="none" w:color="FFFFFF" w:sz="0"/>
                    <w:left w:val="none" w:color="FFFFFF" w:sz="0"/>
                    <w:bottom w:val="none" w:color="FFFFFF" w:sz="0"/>
                    <w:right w:val="none" w:color="FFFFFF" w:sz="0"/>
                  </w:tcBorders>
                  <w:shd w:fill="EEF1F6" w:val="clear"/>
                  <w:tcMar>
                    <w:top w:type="dxa" w:w="150"/>
                    <w:left w:type="dxa" w:w="80"/>
                    <w:bottom w:type="dxa" w:w="150"/>
                    <w:right w:type="dxa" w:w="80"/>
                  </w:tcMar>
                  <w:vAlign w:val="center"/>
                </w:tcPr>
                <w:p>
                  <w:pPr>
                    <w:spacing w:after="18"/>
                    <w:jc w:val="center"/>
                  </w:pPr>
                  <w:r>
                    <w:rPr>
                      <w:rFonts w:ascii="Arial" w:cs="Arial" w:eastAsia="Arial" w:hAnsi="Arial"/>
                      <w:b/>
                      <w:bCs/>
                      <w:i w:val="false"/>
                      <w:iCs w:val="false"/>
                      <w:color w:val="16264A"/>
                      <w:sz w:val="52"/>
                      <w:szCs w:val="52"/>
                    </w:rPr>
                    <w:t xml:space="preserve">11+</w:t>
                  </w:r>
                </w:p>
                <w:p>
                  <w:pPr>
                    <w:spacing w:after="0" w:line="196"/>
                    <w:jc w:val="center"/>
                  </w:pPr>
                  <w:r>
                    <w:rPr>
                      <w:rFonts w:ascii="Arial" w:cs="Arial" w:eastAsia="Arial" w:hAnsi="Arial"/>
                      <w:b/>
                      <w:bCs/>
                      <w:i w:val="false"/>
                      <w:iCs w:val="false"/>
                      <w:color w:val="5C6A80"/>
                      <w:spacing w:val="6"/>
                      <w:sz w:val="15"/>
                      <w:szCs w:val="15"/>
                    </w:rPr>
                    <w:t xml:space="preserve">PEER-REVIEWED PUBLICATIONS</w:t>
                  </w:r>
                </w:p>
              </w:tc>
            </w:tr>
          </w:tbl>
          <w:p>
            <w:pPr>
              <w:spacing w:after="50" w:before="96" w:line="228"/>
            </w:pPr>
            <w:r>
              <w:rPr>
                <w:rFonts w:ascii="Arial" w:cs="Arial" w:eastAsia="Arial" w:hAnsi="Arial"/>
                <w:b w:val="false"/>
                <w:bCs w:val="false"/>
                <w:i/>
                <w:iCs/>
                <w:color w:val="5C6A80"/>
                <w:sz w:val="17"/>
                <w:szCs w:val="17"/>
              </w:rPr>
              <w:t xml:space="preserve">Trusted across government, education, nonprofit, and community systems.</w:t>
            </w:r>
          </w:p>
          <w:p>
            <w:pPr>
              <w:pBdr>
                <w:bottom w:val="single" w:color="C18F33" w:sz="8" w:space="3"/>
              </w:pBdr>
              <w:spacing w:after="92" w:before="170"/>
            </w:pPr>
            <w:r>
              <w:rPr>
                <w:rFonts w:ascii="Arial" w:cs="Arial" w:eastAsia="Arial" w:hAnsi="Arial"/>
                <w:b/>
                <w:bCs/>
                <w:i w:val="false"/>
                <w:iCs w:val="false"/>
                <w:color w:val="16264A"/>
                <w:spacing w:val="8"/>
                <w:sz w:val="22"/>
                <w:szCs w:val="22"/>
              </w:rPr>
              <w:t xml:space="preserve">CORE CAPABILITIES</w:t>
            </w:r>
          </w:p>
          <w:tbl>
            <w:tblPr>
              <w:tblW w:type="dxa" w:w="6180"/>
              <w:tblBorders>
                <w:top w:val="single" w:color="auto" w:sz="4"/>
                <w:left w:val="single" w:color="auto" w:sz="4"/>
                <w:bottom w:val="single" w:color="auto" w:sz="4"/>
                <w:right w:val="single" w:color="auto" w:sz="4"/>
                <w:insideH w:val="single" w:color="auto" w:sz="4"/>
                <w:insideV w:val="single" w:color="auto" w:sz="4"/>
              </w:tblBorders>
            </w:tblPr>
            <w:tblGrid>
              <w:gridCol w:w="3090"/>
              <w:gridCol w:w="3090"/>
            </w:tblGrid>
            <w:tr>
              <w:tc>
                <w:tcPr>
                  <w:tcW w:type="dxa" w:w="3090"/>
                  <w:tcBorders>
                    <w:top w:val="none" w:color="FFFFFF" w:sz="0"/>
                    <w:left w:val="none" w:color="FFFFFF" w:sz="0"/>
                    <w:bottom w:val="none" w:color="FFFFFF" w:sz="0"/>
                    <w:right w:val="none" w:color="FFFFFF" w:sz="0"/>
                  </w:tcBorders>
                  <w:tcMar>
                    <w:top w:type="dxa" w:w="0"/>
                    <w:left w:type="dxa" w:w="0"/>
                    <w:bottom w:type="dxa" w:w="0"/>
                    <w:right w:type="dxa" w:w="120"/>
                  </w:tcMar>
                </w:tcPr>
                <w:p>
                  <w:pPr>
                    <w:pStyle w:val="ListParagraph"/>
                    <w:numPr>
                      <w:ilvl w:val="0"/>
                      <w:numId w:val="2"/>
                    </w:numPr>
                    <w:spacing w:after="56" w:line="222"/>
                  </w:pPr>
                  <w:r>
                    <w:rPr>
                      <w:rFonts w:ascii="Arial" w:cs="Arial" w:eastAsia="Arial" w:hAnsi="Arial"/>
                      <w:b w:val="false"/>
                      <w:bCs w:val="false"/>
                      <w:i w:val="false"/>
                      <w:iCs w:val="false"/>
                      <w:color w:val="1B2433"/>
                      <w:sz w:val="18"/>
                      <w:szCs w:val="18"/>
                    </w:rPr>
                    <w:t xml:space="preserve">Program Evaluation</w:t>
                  </w:r>
                </w:p>
                <w:p>
                  <w:pPr>
                    <w:pStyle w:val="ListParagraph"/>
                    <w:numPr>
                      <w:ilvl w:val="0"/>
                      <w:numId w:val="2"/>
                    </w:numPr>
                    <w:spacing w:after="56" w:line="222"/>
                  </w:pPr>
                  <w:r>
                    <w:rPr>
                      <w:rFonts w:ascii="Arial" w:cs="Arial" w:eastAsia="Arial" w:hAnsi="Arial"/>
                      <w:b w:val="false"/>
                      <w:bCs w:val="false"/>
                      <w:i w:val="false"/>
                      <w:iCs w:val="false"/>
                      <w:color w:val="1B2433"/>
                      <w:sz w:val="18"/>
                      <w:szCs w:val="18"/>
                    </w:rPr>
                    <w:t xml:space="preserve">Impact Measurement</w:t>
                  </w:r>
                </w:p>
                <w:p>
                  <w:pPr>
                    <w:pStyle w:val="ListParagraph"/>
                    <w:numPr>
                      <w:ilvl w:val="0"/>
                      <w:numId w:val="2"/>
                    </w:numPr>
                    <w:spacing w:after="56" w:line="222"/>
                  </w:pPr>
                  <w:r>
                    <w:rPr>
                      <w:rFonts w:ascii="Arial" w:cs="Arial" w:eastAsia="Arial" w:hAnsi="Arial"/>
                      <w:b w:val="false"/>
                      <w:bCs w:val="false"/>
                      <w:i w:val="false"/>
                      <w:iCs w:val="false"/>
                      <w:color w:val="1B2433"/>
                      <w:sz w:val="18"/>
                      <w:szCs w:val="18"/>
                    </w:rPr>
                    <w:t xml:space="preserve">Mixed-Methods Research</w:t>
                  </w:r>
                </w:p>
                <w:p>
                  <w:pPr>
                    <w:pStyle w:val="ListParagraph"/>
                    <w:numPr>
                      <w:ilvl w:val="0"/>
                      <w:numId w:val="2"/>
                    </w:numPr>
                    <w:spacing w:after="56" w:line="222"/>
                  </w:pPr>
                  <w:r>
                    <w:rPr>
                      <w:rFonts w:ascii="Arial" w:cs="Arial" w:eastAsia="Arial" w:hAnsi="Arial"/>
                      <w:b w:val="false"/>
                      <w:bCs w:val="false"/>
                      <w:i w:val="false"/>
                      <w:iCs w:val="false"/>
                      <w:color w:val="1B2433"/>
                      <w:sz w:val="18"/>
                      <w:szCs w:val="18"/>
                    </w:rPr>
                    <w:t xml:space="preserve">Strategic Learning</w:t>
                  </w:r>
                </w:p>
              </w:tc>
              <w:tc>
                <w:tcPr>
                  <w:tcW w:type="dxa" w:w="3090"/>
                  <w:tcBorders>
                    <w:top w:val="none" w:color="FFFFFF" w:sz="0"/>
                    <w:left w:val="none" w:color="FFFFFF" w:sz="0"/>
                    <w:bottom w:val="none" w:color="FFFFFF" w:sz="0"/>
                    <w:right w:val="none" w:color="FFFFFF" w:sz="0"/>
                  </w:tcBorders>
                  <w:tcMar>
                    <w:top w:type="dxa" w:w="0"/>
                    <w:left w:type="dxa" w:w="0"/>
                    <w:bottom w:type="dxa" w:w="0"/>
                    <w:right w:type="dxa" w:w="0"/>
                  </w:tcMar>
                </w:tcPr>
                <w:p>
                  <w:pPr>
                    <w:pStyle w:val="ListParagraph"/>
                    <w:numPr>
                      <w:ilvl w:val="0"/>
                      <w:numId w:val="2"/>
                    </w:numPr>
                    <w:spacing w:after="56" w:line="222"/>
                  </w:pPr>
                  <w:r>
                    <w:rPr>
                      <w:rFonts w:ascii="Arial" w:cs="Arial" w:eastAsia="Arial" w:hAnsi="Arial"/>
                      <w:b w:val="false"/>
                      <w:bCs w:val="false"/>
                      <w:i w:val="false"/>
                      <w:iCs w:val="false"/>
                      <w:color w:val="1B2433"/>
                      <w:sz w:val="18"/>
                      <w:szCs w:val="18"/>
                    </w:rPr>
                    <w:t xml:space="preserve">Data Analysis &amp; Reporting</w:t>
                  </w:r>
                </w:p>
                <w:p>
                  <w:pPr>
                    <w:pStyle w:val="ListParagraph"/>
                    <w:numPr>
                      <w:ilvl w:val="0"/>
                      <w:numId w:val="2"/>
                    </w:numPr>
                    <w:spacing w:after="56" w:line="222"/>
                  </w:pPr>
                  <w:r>
                    <w:rPr>
                      <w:rFonts w:ascii="Arial" w:cs="Arial" w:eastAsia="Arial" w:hAnsi="Arial"/>
                      <w:b w:val="false"/>
                      <w:bCs w:val="false"/>
                      <w:i w:val="false"/>
                      <w:iCs w:val="false"/>
                      <w:color w:val="1B2433"/>
                      <w:sz w:val="18"/>
                      <w:szCs w:val="18"/>
                    </w:rPr>
                    <w:t xml:space="preserve">Community Needs Assessments</w:t>
                  </w:r>
                </w:p>
                <w:p>
                  <w:pPr>
                    <w:pStyle w:val="ListParagraph"/>
                    <w:numPr>
                      <w:ilvl w:val="0"/>
                      <w:numId w:val="2"/>
                    </w:numPr>
                    <w:spacing w:after="56" w:line="222"/>
                  </w:pPr>
                  <w:r>
                    <w:rPr>
                      <w:rFonts w:ascii="Arial" w:cs="Arial" w:eastAsia="Arial" w:hAnsi="Arial"/>
                      <w:b w:val="false"/>
                      <w:bCs w:val="false"/>
                      <w:i w:val="false"/>
                      <w:iCs w:val="false"/>
                      <w:color w:val="1B2433"/>
                      <w:sz w:val="18"/>
                      <w:szCs w:val="18"/>
                    </w:rPr>
                    <w:t xml:space="preserve">Continuous Quality Improvement</w:t>
                  </w:r>
                </w:p>
                <w:p>
                  <w:pPr>
                    <w:pStyle w:val="ListParagraph"/>
                    <w:numPr>
                      <w:ilvl w:val="0"/>
                      <w:numId w:val="2"/>
                    </w:numPr>
                    <w:spacing w:after="56" w:line="222"/>
                  </w:pPr>
                  <w:r>
                    <w:rPr>
                      <w:rFonts w:ascii="Arial" w:cs="Arial" w:eastAsia="Arial" w:hAnsi="Arial"/>
                      <w:b w:val="false"/>
                      <w:bCs w:val="false"/>
                      <w:i w:val="false"/>
                      <w:iCs w:val="false"/>
                      <w:color w:val="1B2433"/>
                      <w:sz w:val="18"/>
                      <w:szCs w:val="18"/>
                    </w:rPr>
                    <w:t xml:space="preserve">Grant Evaluation &amp; Outcomes</w:t>
                  </w:r>
                </w:p>
              </w:tc>
            </w:tr>
          </w:tbl>
          <w:p>
            <w:pPr>
              <w:pBdr>
                <w:bottom w:val="single" w:color="C18F33" w:sz="8" w:space="3"/>
              </w:pBdr>
              <w:spacing w:after="92" w:before="170"/>
            </w:pPr>
            <w:r>
              <w:rPr>
                <w:rFonts w:ascii="Arial" w:cs="Arial" w:eastAsia="Arial" w:hAnsi="Arial"/>
                <w:b/>
                <w:bCs/>
                <w:i w:val="false"/>
                <w:iCs w:val="false"/>
                <w:color w:val="16264A"/>
                <w:spacing w:val="8"/>
                <w:sz w:val="22"/>
                <w:szCs w:val="22"/>
              </w:rPr>
              <w:t xml:space="preserve">DIFFERENTIATORS</w:t>
            </w:r>
          </w:p>
          <w:tbl>
            <w:tblPr>
              <w:tblW w:type="dxa" w:w="6180"/>
              <w:tblBorders>
                <w:top w:val="single" w:color="auto" w:sz="4"/>
                <w:left w:val="single" w:color="auto" w:sz="4"/>
                <w:bottom w:val="single" w:color="auto" w:sz="4"/>
                <w:right w:val="single" w:color="auto" w:sz="4"/>
                <w:insideH w:val="single" w:color="auto" w:sz="4"/>
                <w:insideV w:val="single" w:color="auto" w:sz="4"/>
              </w:tblBorders>
            </w:tblPr>
            <w:tblGrid>
              <w:gridCol w:w="3090"/>
              <w:gridCol w:w="3090"/>
            </w:tblGrid>
            <w:tr>
              <w:tc>
                <w:tcPr>
                  <w:tcW w:type="dxa" w:w="3090"/>
                  <w:tcBorders>
                    <w:top w:val="none" w:color="FFFFFF" w:sz="0"/>
                    <w:left w:val="none" w:color="FFFFFF" w:sz="0"/>
                    <w:bottom w:val="none" w:color="FFFFFF" w:sz="0"/>
                    <w:right w:val="none" w:color="FFFFFF" w:sz="0"/>
                  </w:tcBorders>
                  <w:tcMar>
                    <w:top w:type="dxa" w:w="0"/>
                    <w:left w:type="dxa" w:w="0"/>
                    <w:bottom w:type="dxa" w:w="0"/>
                    <w:right w:type="dxa" w:w="120"/>
                  </w:tcMar>
                </w:tcPr>
                <w:p>
                  <w:pPr>
                    <w:pStyle w:val="ListParagraph"/>
                    <w:numPr>
                      <w:ilvl w:val="0"/>
                      <w:numId w:val="2"/>
                    </w:numPr>
                    <w:spacing w:after="56" w:line="222"/>
                  </w:pPr>
                  <w:r>
                    <w:rPr>
                      <w:rFonts w:ascii="Arial" w:cs="Arial" w:eastAsia="Arial" w:hAnsi="Arial"/>
                      <w:b w:val="false"/>
                      <w:bCs w:val="false"/>
                      <w:i w:val="false"/>
                      <w:iCs w:val="false"/>
                      <w:color w:val="1B2433"/>
                      <w:sz w:val="18"/>
                      <w:szCs w:val="18"/>
                    </w:rPr>
                    <w:t xml:space="preserve">Community-Centered approach</w:t>
                  </w:r>
                </w:p>
                <w:p>
                  <w:pPr>
                    <w:pStyle w:val="ListParagraph"/>
                    <w:numPr>
                      <w:ilvl w:val="0"/>
                      <w:numId w:val="2"/>
                    </w:numPr>
                    <w:spacing w:after="56" w:line="222"/>
                  </w:pPr>
                  <w:r>
                    <w:rPr>
                      <w:rFonts w:ascii="Arial" w:cs="Arial" w:eastAsia="Arial" w:hAnsi="Arial"/>
                      <w:b w:val="false"/>
                      <w:bCs w:val="false"/>
                      <w:i w:val="false"/>
                      <w:iCs w:val="false"/>
                      <w:color w:val="1B2433"/>
                      <w:sz w:val="18"/>
                      <w:szCs w:val="18"/>
                    </w:rPr>
                    <w:t xml:space="preserve">Systems-Focused analysis</w:t>
                  </w:r>
                </w:p>
              </w:tc>
              <w:tc>
                <w:tcPr>
                  <w:tcW w:type="dxa" w:w="3090"/>
                  <w:tcBorders>
                    <w:top w:val="none" w:color="FFFFFF" w:sz="0"/>
                    <w:left w:val="none" w:color="FFFFFF" w:sz="0"/>
                    <w:bottom w:val="none" w:color="FFFFFF" w:sz="0"/>
                    <w:right w:val="none" w:color="FFFFFF" w:sz="0"/>
                  </w:tcBorders>
                  <w:tcMar>
                    <w:top w:type="dxa" w:w="0"/>
                    <w:left w:type="dxa" w:w="0"/>
                    <w:bottom w:type="dxa" w:w="0"/>
                    <w:right w:type="dxa" w:w="0"/>
                  </w:tcMar>
                </w:tcPr>
                <w:p>
                  <w:pPr>
                    <w:pStyle w:val="ListParagraph"/>
                    <w:numPr>
                      <w:ilvl w:val="0"/>
                      <w:numId w:val="2"/>
                    </w:numPr>
                    <w:spacing w:after="56" w:line="222"/>
                  </w:pPr>
                  <w:r>
                    <w:rPr>
                      <w:rFonts w:ascii="Arial" w:cs="Arial" w:eastAsia="Arial" w:hAnsi="Arial"/>
                      <w:b w:val="false"/>
                      <w:bCs w:val="false"/>
                      <w:i w:val="false"/>
                      <w:iCs w:val="false"/>
                      <w:color w:val="1B2433"/>
                      <w:sz w:val="18"/>
                      <w:szCs w:val="18"/>
                    </w:rPr>
                    <w:t xml:space="preserve">Research-Informed practice</w:t>
                  </w:r>
                </w:p>
                <w:p>
                  <w:pPr>
                    <w:pStyle w:val="ListParagraph"/>
                    <w:numPr>
                      <w:ilvl w:val="0"/>
                      <w:numId w:val="2"/>
                    </w:numPr>
                    <w:spacing w:after="56" w:line="222"/>
                  </w:pPr>
                  <w:r>
                    <w:rPr>
                      <w:rFonts w:ascii="Arial" w:cs="Arial" w:eastAsia="Arial" w:hAnsi="Arial"/>
                      <w:b w:val="false"/>
                      <w:bCs w:val="false"/>
                      <w:i w:val="false"/>
                      <w:iCs w:val="false"/>
                      <w:color w:val="1B2433"/>
                      <w:sz w:val="18"/>
                      <w:szCs w:val="18"/>
                    </w:rPr>
                    <w:t xml:space="preserve">Action-Oriented recommendations</w:t>
                  </w:r>
                </w:p>
              </w:tc>
            </w:tr>
          </w:tbl>
          <w:p>
            <w:pPr>
              <w:pBdr>
                <w:bottom w:val="single" w:color="C18F33" w:sz="8" w:space="3"/>
              </w:pBdr>
              <w:spacing w:after="92" w:before="170"/>
            </w:pPr>
            <w:r>
              <w:rPr>
                <w:rFonts w:ascii="Arial" w:cs="Arial" w:eastAsia="Arial" w:hAnsi="Arial"/>
                <w:b/>
                <w:bCs/>
                <w:i w:val="false"/>
                <w:iCs w:val="false"/>
                <w:color w:val="16264A"/>
                <w:spacing w:val="8"/>
                <w:sz w:val="22"/>
                <w:szCs w:val="22"/>
              </w:rPr>
              <w:t xml:space="preserve">SELECT CLIENTS &amp; PARTNERSHIPS</w:t>
            </w:r>
          </w:p>
          <w:p>
            <w:pPr>
              <w:spacing w:after="40" w:before="0" w:line="272"/>
            </w:pPr>
            <w:r>
              <w:rPr>
                <w:rFonts w:ascii="Arial" w:cs="Arial" w:eastAsia="Arial" w:hAnsi="Arial"/>
                <w:b/>
                <w:bCs/>
                <w:i w:val="false"/>
                <w:iCs w:val="false"/>
                <w:color w:val="16264A"/>
                <w:sz w:val="18"/>
                <w:szCs w:val="18"/>
              </w:rPr>
              <w:t xml:space="preserve">City of Akron</w:t>
            </w:r>
            <w:r>
              <w:rPr>
                <w:rFonts w:ascii="Arial" w:cs="Arial" w:eastAsia="Arial" w:hAnsi="Arial"/>
                <w:b w:val="false"/>
                <w:bCs w:val="false"/>
                <w:i w:val="false"/>
                <w:iCs w:val="false"/>
                <w:color w:val="C18F33"/>
                <w:sz w:val="18"/>
                <w:szCs w:val="18"/>
              </w:rPr>
              <w:t xml:space="preserve">    ·    </w:t>
            </w:r>
            <w:r>
              <w:rPr>
                <w:rFonts w:ascii="Arial" w:cs="Arial" w:eastAsia="Arial" w:hAnsi="Arial"/>
                <w:b/>
                <w:bCs/>
                <w:i w:val="false"/>
                <w:iCs w:val="false"/>
                <w:color w:val="16264A"/>
                <w:sz w:val="18"/>
                <w:szCs w:val="18"/>
              </w:rPr>
              <w:t xml:space="preserve">Akron Street Team Pilot</w:t>
            </w:r>
            <w:r>
              <w:rPr>
                <w:rFonts w:ascii="Arial" w:cs="Arial" w:eastAsia="Arial" w:hAnsi="Arial"/>
                <w:b w:val="false"/>
                <w:bCs w:val="false"/>
                <w:i w:val="false"/>
                <w:iCs w:val="false"/>
                <w:color w:val="C18F33"/>
                <w:sz w:val="18"/>
                <w:szCs w:val="18"/>
              </w:rPr>
              <w:t xml:space="preserve">    ·    </w:t>
            </w:r>
            <w:r>
              <w:rPr>
                <w:rFonts w:ascii="Arial" w:cs="Arial" w:eastAsia="Arial" w:hAnsi="Arial"/>
                <w:b/>
                <w:bCs/>
                <w:i w:val="false"/>
                <w:iCs w:val="false"/>
                <w:color w:val="16264A"/>
                <w:sz w:val="18"/>
                <w:szCs w:val="18"/>
              </w:rPr>
              <w:t xml:space="preserve">Summit Education Initiative</w:t>
            </w:r>
            <w:r>
              <w:rPr>
                <w:rFonts w:ascii="Arial" w:cs="Arial" w:eastAsia="Arial" w:hAnsi="Arial"/>
                <w:b w:val="false"/>
                <w:bCs w:val="false"/>
                <w:i w:val="false"/>
                <w:iCs w:val="false"/>
                <w:color w:val="C18F33"/>
                <w:sz w:val="18"/>
                <w:szCs w:val="18"/>
              </w:rPr>
              <w:t xml:space="preserve">    ·    </w:t>
            </w:r>
            <w:r>
              <w:rPr>
                <w:rFonts w:ascii="Arial" w:cs="Arial" w:eastAsia="Arial" w:hAnsi="Arial"/>
                <w:b/>
                <w:bCs/>
                <w:i w:val="false"/>
                <w:iCs w:val="false"/>
                <w:color w:val="16264A"/>
                <w:sz w:val="18"/>
                <w:szCs w:val="18"/>
              </w:rPr>
              <w:t xml:space="preserve">University of Akron</w:t>
            </w:r>
            <w:r>
              <w:rPr>
                <w:rFonts w:ascii="Arial" w:cs="Arial" w:eastAsia="Arial" w:hAnsi="Arial"/>
                <w:b w:val="false"/>
                <w:bCs w:val="false"/>
                <w:i w:val="false"/>
                <w:iCs w:val="false"/>
                <w:color w:val="C18F33"/>
                <w:sz w:val="18"/>
                <w:szCs w:val="18"/>
              </w:rPr>
              <w:t xml:space="preserve">    ·    </w:t>
            </w:r>
            <w:r>
              <w:rPr>
                <w:rFonts w:ascii="Arial" w:cs="Arial" w:eastAsia="Arial" w:hAnsi="Arial"/>
                <w:b/>
                <w:bCs/>
                <w:i w:val="false"/>
                <w:iCs w:val="false"/>
                <w:color w:val="16264A"/>
                <w:sz w:val="18"/>
                <w:szCs w:val="18"/>
              </w:rPr>
              <w:t xml:space="preserve">Kent State University</w:t>
            </w:r>
            <w:r>
              <w:rPr>
                <w:rFonts w:ascii="Arial" w:cs="Arial" w:eastAsia="Arial" w:hAnsi="Arial"/>
                <w:b w:val="false"/>
                <w:bCs w:val="false"/>
                <w:i w:val="false"/>
                <w:iCs w:val="false"/>
                <w:color w:val="C18F33"/>
                <w:sz w:val="18"/>
                <w:szCs w:val="18"/>
              </w:rPr>
              <w:t xml:space="preserve">    ·    </w:t>
            </w:r>
            <w:r>
              <w:rPr>
                <w:rFonts w:ascii="Arial" w:cs="Arial" w:eastAsia="Arial" w:hAnsi="Arial"/>
                <w:b/>
                <w:bCs/>
                <w:i w:val="false"/>
                <w:iCs w:val="false"/>
                <w:color w:val="16264A"/>
                <w:sz w:val="18"/>
                <w:szCs w:val="18"/>
              </w:rPr>
              <w:t xml:space="preserve">Ashland University</w:t>
            </w:r>
            <w:r>
              <w:rPr>
                <w:rFonts w:ascii="Arial" w:cs="Arial" w:eastAsia="Arial" w:hAnsi="Arial"/>
                <w:b w:val="false"/>
                <w:bCs w:val="false"/>
                <w:i w:val="false"/>
                <w:iCs w:val="false"/>
                <w:color w:val="C18F33"/>
                <w:sz w:val="18"/>
                <w:szCs w:val="18"/>
              </w:rPr>
              <w:t xml:space="preserve">    ·    </w:t>
            </w:r>
            <w:r>
              <w:rPr>
                <w:rFonts w:ascii="Arial" w:cs="Arial" w:eastAsia="Arial" w:hAnsi="Arial"/>
                <w:b/>
                <w:bCs/>
                <w:i w:val="false"/>
                <w:iCs w:val="false"/>
                <w:color w:val="16264A"/>
                <w:sz w:val="18"/>
                <w:szCs w:val="18"/>
              </w:rPr>
              <w:t xml:space="preserve">Institute for the Study &amp; Prevention of Violence</w:t>
            </w:r>
            <w:r>
              <w:rPr>
                <w:rFonts w:ascii="Arial" w:cs="Arial" w:eastAsia="Arial" w:hAnsi="Arial"/>
                <w:b w:val="false"/>
                <w:bCs w:val="false"/>
                <w:i w:val="false"/>
                <w:iCs w:val="false"/>
                <w:color w:val="C18F33"/>
                <w:sz w:val="18"/>
                <w:szCs w:val="18"/>
              </w:rPr>
              <w:t xml:space="preserve">    ·    </w:t>
            </w:r>
            <w:r>
              <w:rPr>
                <w:rFonts w:ascii="Arial" w:cs="Arial" w:eastAsia="Arial" w:hAnsi="Arial"/>
                <w:b/>
                <w:bCs/>
                <w:i w:val="false"/>
                <w:iCs w:val="false"/>
                <w:color w:val="16264A"/>
                <w:sz w:val="18"/>
                <w:szCs w:val="18"/>
              </w:rPr>
              <w:t xml:space="preserve">CCRES</w:t>
            </w:r>
          </w:p>
        </w:tc>
        <w:tc>
          <w:tcPr>
            <w:tcW w:type="dxa" w:w="4280"/>
            <w:tcBorders>
              <w:top w:val="none" w:color="FFFFFF" w:sz="0"/>
              <w:left w:val="none" w:color="FFFFFF" w:sz="0"/>
              <w:bottom w:val="none" w:color="FFFFFF" w:sz="0"/>
              <w:right w:val="none" w:color="FFFFFF" w:sz="0"/>
            </w:tcBorders>
            <w:shd w:fill="16264A" w:val="clear"/>
            <w:tcMar>
              <w:top w:type="dxa" w:w="190"/>
              <w:left w:type="dxa" w:w="240"/>
              <w:bottom w:type="dxa" w:w="160"/>
              <w:right w:type="dxa" w:w="220"/>
            </w:tcMar>
            <w:vAlign w:val="top"/>
          </w:tcPr>
          <w:p>
            <w:pPr>
              <w:pBdr>
                <w:bottom w:val="single" w:color="C18F33" w:sz="6" w:space="3"/>
              </w:pBdr>
              <w:spacing w:after="60" w:before="0"/>
            </w:pPr>
            <w:r>
              <w:rPr>
                <w:rFonts w:ascii="Arial" w:cs="Arial" w:eastAsia="Arial" w:hAnsi="Arial"/>
                <w:b/>
                <w:bCs/>
                <w:i w:val="false"/>
                <w:iCs w:val="false"/>
                <w:color w:val="D8A94B"/>
                <w:spacing w:val="12"/>
                <w:sz w:val="18"/>
                <w:szCs w:val="18"/>
              </w:rPr>
              <w:t xml:space="preserve">CONTACT</w:t>
            </w:r>
          </w:p>
          <w:p>
            <w:pPr>
              <w:spacing w:after="14" w:before="0" w:line="216"/>
            </w:pPr>
            <w:r>
              <w:rPr>
                <w:rFonts w:ascii="Arial" w:cs="Arial" w:eastAsia="Arial" w:hAnsi="Arial"/>
                <w:b/>
                <w:bCs/>
                <w:i w:val="false"/>
                <w:iCs w:val="false"/>
                <w:color w:val="FFFFFF"/>
                <w:sz w:val="19"/>
                <w:szCs w:val="19"/>
              </w:rPr>
              <w:t xml:space="preserve">Allyson Drinkard, Ph.D.</w:t>
            </w:r>
          </w:p>
          <w:p>
            <w:pPr>
              <w:spacing w:after="50" w:before="0" w:line="216"/>
            </w:pPr>
            <w:r>
              <w:rPr>
                <w:rFonts w:ascii="Arial" w:cs="Arial" w:eastAsia="Arial" w:hAnsi="Arial"/>
                <w:b w:val="false"/>
                <w:bCs w:val="false"/>
                <w:i w:val="false"/>
                <w:iCs w:val="false"/>
                <w:color w:val="9FB0C9"/>
                <w:sz w:val="17"/>
                <w:szCs w:val="17"/>
              </w:rPr>
              <w:t xml:space="preserve">CEO &amp; Principal Evaluation Scientist</w:t>
            </w:r>
          </w:p>
          <w:p>
            <w:pPr>
              <w:spacing w:after="32" w:before="0" w:line="216"/>
            </w:pPr>
            <w:r>
              <w:rPr>
                <w:rFonts w:ascii="Arial" w:cs="Arial" w:eastAsia="Arial" w:hAnsi="Arial"/>
                <w:b w:val="false"/>
                <w:bCs w:val="false"/>
                <w:i w:val="false"/>
                <w:iCs w:val="false"/>
                <w:color w:val="FFFFFF"/>
                <w:sz w:val="17"/>
                <w:szCs w:val="17"/>
              </w:rPr>
              <w:t xml:space="preserve">(330) 573-0015</w:t>
            </w:r>
          </w:p>
          <w:p>
            <w:pPr>
              <w:spacing w:after="32" w:before="0" w:line="216"/>
            </w:pPr>
            <w:r>
              <w:rPr>
                <w:rFonts w:ascii="Arial" w:cs="Arial" w:eastAsia="Arial" w:hAnsi="Arial"/>
                <w:b w:val="false"/>
                <w:bCs w:val="false"/>
                <w:i w:val="false"/>
                <w:iCs w:val="false"/>
                <w:color w:val="FFFFFF"/>
                <w:sz w:val="17"/>
                <w:szCs w:val="17"/>
              </w:rPr>
              <w:t xml:space="preserve">drinkardenterprises@gmail.com</w:t>
            </w:r>
          </w:p>
          <w:p>
            <w:pPr>
              <w:spacing w:after="32" w:before="0" w:line="216"/>
            </w:pPr>
            <w:r>
              <w:rPr>
                <w:rFonts w:ascii="Arial" w:cs="Arial" w:eastAsia="Arial" w:hAnsi="Arial"/>
                <w:b w:val="false"/>
                <w:bCs w:val="false"/>
                <w:i w:val="false"/>
                <w:iCs w:val="false"/>
                <w:color w:val="FFFFFF"/>
                <w:sz w:val="17"/>
                <w:szCs w:val="17"/>
              </w:rPr>
              <w:t xml:space="preserve">linkedin.com/in/allyson-drinkard</w:t>
            </w:r>
          </w:p>
          <w:p>
            <w:pPr>
              <w:spacing w:after="32" w:before="0" w:line="216"/>
            </w:pPr>
            <w:r>
              <w:rPr>
                <w:rFonts w:ascii="Arial" w:cs="Arial" w:eastAsia="Arial" w:hAnsi="Arial"/>
                <w:b w:val="false"/>
                <w:bCs w:val="false"/>
                <w:i w:val="false"/>
                <w:iCs w:val="false"/>
                <w:color w:val="FFFFFF"/>
                <w:sz w:val="17"/>
                <w:szCs w:val="17"/>
              </w:rPr>
              <w:t xml:space="preserve">Canton, Ohio</w:t>
            </w:r>
          </w:p>
          <w:p>
            <w:pPr>
              <w:pBdr>
                <w:bottom w:val="single" w:color="C18F33" w:sz="6" w:space="3"/>
              </w:pBdr>
              <w:spacing w:after="60" w:before="178"/>
            </w:pPr>
            <w:r>
              <w:rPr>
                <w:rFonts w:ascii="Arial" w:cs="Arial" w:eastAsia="Arial" w:hAnsi="Arial"/>
                <w:b/>
                <w:bCs/>
                <w:i w:val="false"/>
                <w:iCs w:val="false"/>
                <w:color w:val="D8A94B"/>
                <w:spacing w:val="12"/>
                <w:sz w:val="18"/>
                <w:szCs w:val="18"/>
              </w:rPr>
              <w:t xml:space="preserve">COMPANY DATA</w:t>
            </w:r>
          </w:p>
          <w:p>
            <w:pPr>
              <w:spacing w:after="16" w:before="0" w:line="216"/>
            </w:pPr>
            <w:r>
              <w:rPr>
                <w:rFonts w:ascii="Arial" w:cs="Arial" w:eastAsia="Arial" w:hAnsi="Arial"/>
                <w:b/>
                <w:bCs/>
                <w:i w:val="false"/>
                <w:iCs w:val="false"/>
                <w:color w:val="FFFFFF"/>
                <w:sz w:val="17"/>
                <w:szCs w:val="17"/>
              </w:rPr>
              <w:t xml:space="preserve">Woman-Owned Small Business</w:t>
            </w:r>
          </w:p>
          <w:p>
            <w:pPr>
              <w:spacing w:after="16" w:before="0" w:line="216"/>
            </w:pPr>
            <w:r>
              <w:rPr>
                <w:rFonts w:ascii="Arial" w:cs="Arial" w:eastAsia="Arial" w:hAnsi="Arial"/>
                <w:b w:val="false"/>
                <w:bCs w:val="false"/>
                <w:i w:val="false"/>
                <w:iCs w:val="false"/>
                <w:color w:val="9FB0C9"/>
                <w:sz w:val="17"/>
                <w:szCs w:val="17"/>
              </w:rPr>
              <w:t xml:space="preserve">Founded 2024</w:t>
            </w:r>
          </w:p>
          <w:p>
            <w:pPr>
              <w:spacing w:after="6" w:before="0" w:line="216"/>
            </w:pPr>
            <w:r>
              <w:rPr>
                <w:rFonts w:ascii="Arial" w:cs="Arial" w:eastAsia="Arial" w:hAnsi="Arial"/>
                <w:b/>
                <w:bCs/>
                <w:i w:val="false"/>
                <w:iCs w:val="false"/>
                <w:color w:val="FFFFFF"/>
                <w:sz w:val="17"/>
                <w:szCs w:val="17"/>
              </w:rPr>
              <w:t xml:space="preserve">UEI (SAM.gov):  </w:t>
            </w:r>
            <w:r>
              <w:rPr>
                <w:rFonts w:ascii="Arial" w:cs="Arial" w:eastAsia="Arial" w:hAnsi="Arial"/>
                <w:b w:val="false"/>
                <w:bCs w:val="false"/>
                <w:i w:val="false"/>
                <w:iCs w:val="false"/>
                <w:color w:val="9FB0C9"/>
                <w:sz w:val="17"/>
                <w:szCs w:val="17"/>
              </w:rPr>
              <w:t xml:space="preserve">[add]</w:t>
            </w:r>
          </w:p>
          <w:p>
            <w:pPr>
              <w:spacing w:after="32" w:before="0" w:line="216"/>
            </w:pPr>
            <w:r>
              <w:rPr>
                <w:rFonts w:ascii="Arial" w:cs="Arial" w:eastAsia="Arial" w:hAnsi="Arial"/>
                <w:b/>
                <w:bCs/>
                <w:i w:val="false"/>
                <w:iCs w:val="false"/>
                <w:color w:val="FFFFFF"/>
                <w:sz w:val="17"/>
                <w:szCs w:val="17"/>
              </w:rPr>
              <w:t xml:space="preserve">CAGE Code:  </w:t>
            </w:r>
            <w:r>
              <w:rPr>
                <w:rFonts w:ascii="Arial" w:cs="Arial" w:eastAsia="Arial" w:hAnsi="Arial"/>
                <w:b w:val="false"/>
                <w:bCs w:val="false"/>
                <w:i w:val="false"/>
                <w:iCs w:val="false"/>
                <w:color w:val="9FB0C9"/>
                <w:sz w:val="17"/>
                <w:szCs w:val="17"/>
              </w:rPr>
              <w:t xml:space="preserve">[add]</w:t>
            </w:r>
          </w:p>
          <w:p>
            <w:pPr>
              <w:pBdr>
                <w:bottom w:val="single" w:color="C18F33" w:sz="6" w:space="3"/>
              </w:pBdr>
              <w:spacing w:after="60" w:before="178"/>
            </w:pPr>
            <w:r>
              <w:rPr>
                <w:rFonts w:ascii="Arial" w:cs="Arial" w:eastAsia="Arial" w:hAnsi="Arial"/>
                <w:b/>
                <w:bCs/>
                <w:i w:val="false"/>
                <w:iCs w:val="false"/>
                <w:color w:val="D8A94B"/>
                <w:spacing w:val="12"/>
                <w:sz w:val="18"/>
                <w:szCs w:val="18"/>
              </w:rPr>
              <w:t xml:space="preserve">AREAS OF EXPERTISE</w:t>
            </w:r>
          </w:p>
          <w:p>
            <w:pPr>
              <w:spacing w:after="32" w:before="0" w:line="222"/>
            </w:pPr>
            <w:r>
              <w:rPr>
                <w:rFonts w:ascii="Arial" w:cs="Arial" w:eastAsia="Arial" w:hAnsi="Arial"/>
                <w:b w:val="false"/>
                <w:bCs w:val="false"/>
                <w:i w:val="false"/>
                <w:iCs w:val="false"/>
                <w:color w:val="FFFFFF"/>
                <w:sz w:val="17"/>
                <w:szCs w:val="17"/>
              </w:rPr>
              <w:t xml:space="preserve">Violence Prevention &amp; Community Safety  ·  Juvenile Justice  ·  Positive Youth Development  ·  Behavioral Health  ·  Public Health  ·  Equity &amp; Inclusion  ·  K–12 Education  ·  Higher Education  ·  Community-Based Initiatives</w:t>
            </w:r>
          </w:p>
          <w:p>
            <w:pPr>
              <w:pBdr>
                <w:bottom w:val="single" w:color="C18F33" w:sz="6" w:space="3"/>
              </w:pBdr>
              <w:spacing w:after="60" w:before="178"/>
            </w:pPr>
            <w:r>
              <w:rPr>
                <w:rFonts w:ascii="Arial" w:cs="Arial" w:eastAsia="Arial" w:hAnsi="Arial"/>
                <w:b/>
                <w:bCs/>
                <w:i w:val="false"/>
                <w:iCs w:val="false"/>
                <w:color w:val="D8A94B"/>
                <w:spacing w:val="12"/>
                <w:sz w:val="18"/>
                <w:szCs w:val="18"/>
              </w:rPr>
              <w:t xml:space="preserve">NAICS CODES</w:t>
            </w:r>
          </w:p>
          <w:p>
            <w:pPr>
              <w:spacing w:after="18" w:before="0" w:line="208"/>
            </w:pPr>
            <w:r>
              <w:rPr>
                <w:rFonts w:ascii="Arial" w:cs="Arial" w:eastAsia="Arial" w:hAnsi="Arial"/>
                <w:b/>
                <w:bCs/>
                <w:i w:val="false"/>
                <w:iCs w:val="false"/>
                <w:color w:val="D8A94B"/>
                <w:sz w:val="17"/>
                <w:szCs w:val="17"/>
              </w:rPr>
              <w:t xml:space="preserve">541720  </w:t>
            </w:r>
            <w:r>
              <w:rPr>
                <w:rFonts w:ascii="Arial" w:cs="Arial" w:eastAsia="Arial" w:hAnsi="Arial"/>
                <w:b w:val="false"/>
                <w:bCs w:val="false"/>
                <w:i w:val="false"/>
                <w:iCs w:val="false"/>
                <w:color w:val="FFFFFF"/>
                <w:sz w:val="17"/>
                <w:szCs w:val="17"/>
              </w:rPr>
              <w:t xml:space="preserve">Research &amp; Development in the Social Sciences &amp; Humanities</w:t>
            </w:r>
          </w:p>
          <w:p>
            <w:pPr>
              <w:spacing w:after="18" w:before="0" w:line="208"/>
            </w:pPr>
            <w:r>
              <w:rPr>
                <w:rFonts w:ascii="Arial" w:cs="Arial" w:eastAsia="Arial" w:hAnsi="Arial"/>
                <w:b/>
                <w:bCs/>
                <w:i w:val="false"/>
                <w:iCs w:val="false"/>
                <w:color w:val="D8A94B"/>
                <w:sz w:val="17"/>
                <w:szCs w:val="17"/>
              </w:rPr>
              <w:t xml:space="preserve">541611  </w:t>
            </w:r>
            <w:r>
              <w:rPr>
                <w:rFonts w:ascii="Arial" w:cs="Arial" w:eastAsia="Arial" w:hAnsi="Arial"/>
                <w:b w:val="false"/>
                <w:bCs w:val="false"/>
                <w:i w:val="false"/>
                <w:iCs w:val="false"/>
                <w:color w:val="FFFFFF"/>
                <w:sz w:val="17"/>
                <w:szCs w:val="17"/>
              </w:rPr>
              <w:t xml:space="preserve">Administrative &amp; General Management Consulting</w:t>
            </w:r>
          </w:p>
          <w:p>
            <w:pPr>
              <w:spacing w:after="18" w:before="0" w:line="208"/>
            </w:pPr>
            <w:r>
              <w:rPr>
                <w:rFonts w:ascii="Arial" w:cs="Arial" w:eastAsia="Arial" w:hAnsi="Arial"/>
                <w:b/>
                <w:bCs/>
                <w:i w:val="false"/>
                <w:iCs w:val="false"/>
                <w:color w:val="D8A94B"/>
                <w:sz w:val="17"/>
                <w:szCs w:val="17"/>
              </w:rPr>
              <w:t xml:space="preserve">541618  </w:t>
            </w:r>
            <w:r>
              <w:rPr>
                <w:rFonts w:ascii="Arial" w:cs="Arial" w:eastAsia="Arial" w:hAnsi="Arial"/>
                <w:b w:val="false"/>
                <w:bCs w:val="false"/>
                <w:i w:val="false"/>
                <w:iCs w:val="false"/>
                <w:color w:val="FFFFFF"/>
                <w:sz w:val="17"/>
                <w:szCs w:val="17"/>
              </w:rPr>
              <w:t xml:space="preserve">Other Management Consulting Services</w:t>
            </w:r>
          </w:p>
          <w:p>
            <w:pPr>
              <w:spacing w:after="18" w:before="0" w:line="208"/>
            </w:pPr>
            <w:r>
              <w:rPr>
                <w:rFonts w:ascii="Arial" w:cs="Arial" w:eastAsia="Arial" w:hAnsi="Arial"/>
                <w:b/>
                <w:bCs/>
                <w:i w:val="false"/>
                <w:iCs w:val="false"/>
                <w:color w:val="D8A94B"/>
                <w:sz w:val="17"/>
                <w:szCs w:val="17"/>
              </w:rPr>
              <w:t xml:space="preserve">611710  </w:t>
            </w:r>
            <w:r>
              <w:rPr>
                <w:rFonts w:ascii="Arial" w:cs="Arial" w:eastAsia="Arial" w:hAnsi="Arial"/>
                <w:b w:val="false"/>
                <w:bCs w:val="false"/>
                <w:i w:val="false"/>
                <w:iCs w:val="false"/>
                <w:color w:val="FFFFFF"/>
                <w:sz w:val="17"/>
                <w:szCs w:val="17"/>
              </w:rPr>
              <w:t xml:space="preserve">Educational Support Services</w:t>
            </w:r>
          </w:p>
          <w:p>
            <w:pPr>
              <w:spacing w:after="18" w:before="0" w:line="208"/>
            </w:pPr>
            <w:r>
              <w:rPr>
                <w:rFonts w:ascii="Arial" w:cs="Arial" w:eastAsia="Arial" w:hAnsi="Arial"/>
                <w:b/>
                <w:bCs/>
                <w:i w:val="false"/>
                <w:iCs w:val="false"/>
                <w:color w:val="D8A94B"/>
                <w:sz w:val="17"/>
                <w:szCs w:val="17"/>
              </w:rPr>
              <w:t xml:space="preserve">541910  </w:t>
            </w:r>
            <w:r>
              <w:rPr>
                <w:rFonts w:ascii="Arial" w:cs="Arial" w:eastAsia="Arial" w:hAnsi="Arial"/>
                <w:b w:val="false"/>
                <w:bCs w:val="false"/>
                <w:i w:val="false"/>
                <w:iCs w:val="false"/>
                <w:color w:val="FFFFFF"/>
                <w:sz w:val="17"/>
                <w:szCs w:val="17"/>
              </w:rPr>
              <w:t xml:space="preserve">Marketing Research &amp; Public Opinion Polling</w:t>
            </w:r>
          </w:p>
          <w:p>
            <w:pPr>
              <w:pBdr>
                <w:bottom w:val="single" w:color="C18F33" w:sz="6" w:space="3"/>
              </w:pBdr>
              <w:spacing w:after="60" w:before="178"/>
            </w:pPr>
            <w:r>
              <w:rPr>
                <w:rFonts w:ascii="Arial" w:cs="Arial" w:eastAsia="Arial" w:hAnsi="Arial"/>
                <w:b/>
                <w:bCs/>
                <w:i w:val="false"/>
                <w:iCs w:val="false"/>
                <w:color w:val="D8A94B"/>
                <w:spacing w:val="12"/>
                <w:sz w:val="18"/>
                <w:szCs w:val="18"/>
              </w:rPr>
              <w:t xml:space="preserve">EDUCATION &amp; CERTIFICATIONS</w:t>
            </w:r>
          </w:p>
          <w:p>
            <w:pPr>
              <w:spacing w:after="16" w:before="0" w:line="216"/>
            </w:pPr>
            <w:r>
              <w:rPr>
                <w:rFonts w:ascii="Arial" w:cs="Arial" w:eastAsia="Arial" w:hAnsi="Arial"/>
                <w:b/>
                <w:bCs/>
                <w:i w:val="false"/>
                <w:iCs w:val="false"/>
                <w:color w:val="FFFFFF"/>
                <w:sz w:val="17"/>
                <w:szCs w:val="17"/>
              </w:rPr>
              <w:t xml:space="preserve">Ph.D., Sociology</w:t>
            </w:r>
            <w:r>
              <w:rPr>
                <w:rFonts w:ascii="Arial" w:cs="Arial" w:eastAsia="Arial" w:hAnsi="Arial"/>
                <w:b w:val="false"/>
                <w:bCs w:val="false"/>
                <w:i w:val="false"/>
                <w:iCs w:val="false"/>
                <w:color w:val="9FB0C9"/>
                <w:sz w:val="17"/>
                <w:szCs w:val="17"/>
              </w:rPr>
              <w:t xml:space="preserve">, Kent State University</w:t>
            </w:r>
          </w:p>
          <w:p>
            <w:pPr>
              <w:spacing w:after="10" w:before="0" w:line="216"/>
            </w:pPr>
            <w:r>
              <w:rPr>
                <w:rFonts w:ascii="Arial" w:cs="Arial" w:eastAsia="Arial" w:hAnsi="Arial"/>
                <w:b w:val="false"/>
                <w:bCs w:val="false"/>
                <w:i w:val="false"/>
                <w:iCs w:val="false"/>
                <w:color w:val="FFFFFF"/>
                <w:sz w:val="17"/>
                <w:szCs w:val="17"/>
              </w:rPr>
              <w:t xml:space="preserve">CITI: Social &amp; Behavioral Research</w:t>
            </w:r>
          </w:p>
          <w:p>
            <w:pPr>
              <w:spacing w:after="10" w:before="0" w:line="216"/>
            </w:pPr>
            <w:r>
              <w:rPr>
                <w:rFonts w:ascii="Arial" w:cs="Arial" w:eastAsia="Arial" w:hAnsi="Arial"/>
                <w:b w:val="false"/>
                <w:bCs w:val="false"/>
                <w:i w:val="false"/>
                <w:iCs w:val="false"/>
                <w:color w:val="FFFFFF"/>
                <w:sz w:val="17"/>
                <w:szCs w:val="17"/>
              </w:rPr>
              <w:t xml:space="preserve">Adult Mental Health First Aid</w:t>
            </w:r>
          </w:p>
          <w:p>
            <w:pPr>
              <w:spacing w:after="32" w:before="0" w:line="216"/>
            </w:pPr>
            <w:r>
              <w:rPr>
                <w:rFonts w:ascii="Arial" w:cs="Arial" w:eastAsia="Arial" w:hAnsi="Arial"/>
                <w:b w:val="false"/>
                <w:bCs w:val="false"/>
                <w:i w:val="false"/>
                <w:iCs w:val="false"/>
                <w:color w:val="FFFFFF"/>
                <w:sz w:val="17"/>
                <w:szCs w:val="17"/>
              </w:rPr>
              <w:t xml:space="preserve">Becoming ACEs Aware</w:t>
            </w:r>
          </w:p>
        </w:tc>
      </w:tr>
    </w:tbl>
    <w:p>
      <w:pPr>
        <w:pBdr>
          <w:top w:val="single" w:color="C18F33" w:sz="8" w:space="6"/>
        </w:pBdr>
        <w:spacing w:after="14" w:before="150"/>
        <w:jc w:val="center"/>
      </w:pPr>
      <w:r>
        <w:rPr>
          <w:rFonts w:ascii="Cambria" w:cs="Cambria" w:eastAsia="Cambria" w:hAnsi="Cambria"/>
          <w:i/>
          <w:iCs/>
          <w:color w:val="A8761F"/>
          <w:sz w:val="23"/>
          <w:szCs w:val="23"/>
        </w:rPr>
        <w:t xml:space="preserve">Turning evidence into action that strengthens communities.</w:t>
      </w:r>
    </w:p>
    <w:p>
      <w:pPr>
        <w:spacing w:after="0"/>
        <w:jc w:val="center"/>
      </w:pPr>
      <w:r>
        <w:rPr>
          <w:rFonts w:ascii="Arial" w:cs="Arial" w:eastAsia="Arial" w:hAnsi="Arial"/>
          <w:b w:val="false"/>
          <w:bCs w:val="false"/>
          <w:i w:val="false"/>
          <w:iCs w:val="false"/>
          <w:color w:val="5C6A80"/>
          <w:sz w:val="17"/>
          <w:szCs w:val="17"/>
        </w:rPr>
        <w:t xml:space="preserve">Drinkard Enterprises Inc.   ·   Canton, Ohio   ·   drinkardenterprises@gmail.com   ·   (330) 573-0015</w:t>
      </w:r>
    </w:p>
    <w:sectPr>
      <w:pgSz w:w="12240" w:h="15840" w:orient="portrait"/>
      <w:pgMar w:top="720" w:right="720" w:bottom="720" w:left="72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220" w:hanging="165"/>
      </w:pPr>
      <w:rPr>
        <w:color w:val="C18F33"/>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B2433"/>
        <w:sz w:val="18"/>
        <w:szCs w:val="18"/>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image" Target="media/53b58182ab9bcc3b6c2eebb050f44d3d4ebf197c.png"/><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Capability Statement — Drinkard Enterprises Inc.</dc:title>
  <dc:creator>Drinkard Enterprises Inc.</dc:creator>
  <dc:description>Capability Statement</dc:description>
  <cp:lastModifiedBy>Un-named</cp:lastModifiedBy>
  <cp:revision>1</cp:revision>
  <dcterms:created xsi:type="dcterms:W3CDTF">2026-06-21T05:14:21.579Z</dcterms:created>
  <dcterms:modified xsi:type="dcterms:W3CDTF">2026-06-21T05:14:21.579Z</dcterms:modified>
</cp:coreProperties>
</file>

<file path=docProps/custom.xml><?xml version="1.0" encoding="utf-8"?>
<Properties xmlns="http://schemas.openxmlformats.org/officeDocument/2006/custom-properties" xmlns:vt="http://schemas.openxmlformats.org/officeDocument/2006/docPropsVTypes"/>
</file>